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СПРАВКА</w:t>
      </w:r>
    </w:p>
    <w:p>
      <w:pPr>
        <w:jc w:val="center"/>
      </w:pPr>
      <w:r>
        <w:t>о необходимости корректировки плановых показателей выручки от нетарифных услуг на 2026 год</w:t>
      </w:r>
    </w:p>
    <w:p/>
    <w:p>
      <w:r>
        <w:rPr>
          <w:b/>
        </w:rPr>
        <w:t>1. Исходные данные</w:t>
      </w:r>
    </w:p>
    <w:p>
      <w:r>
        <w:t>• База-2025 по нетарифным услугам без ПС «Порт»: 1 134 263 тыс. руб.</w:t>
      </w:r>
    </w:p>
    <w:p>
      <w:r>
        <w:t>• Ожидаемый факт-2025 всего: 1 426 548 тыс. руб., в т.ч. ПС «Порт» — 292 285 тыс. руб.</w:t>
      </w:r>
    </w:p>
    <w:p>
      <w:r>
        <w:t>• По «Порту» рассматривается передача в ФСК (мена; ориентир — март 2026 г.); механизма передачи нет; материалы на Правление не выносятся.</w:t>
      </w:r>
    </w:p>
    <w:p>
      <w:r>
        <w:t>• ГД планирует совещание по вопросу БП и мены.</w:t>
      </w:r>
    </w:p>
    <w:p/>
    <w:p>
      <w:r>
        <w:rPr>
          <w:b/>
        </w:rPr>
        <w:t>2. Фактически достигнутые результаты и динамика (2015–2025 ожид.)</w:t>
      </w:r>
    </w:p>
    <w:p>
      <w:r>
        <w:t>• Рост выручки 2015 → 2025 (ожид.): 87 884 → 1 426 548 тыс. руб. (×16,23); CAGR ≈ 32,1%.</w:t>
      </w:r>
    </w:p>
    <w:p>
      <w:r>
        <w:t>• Лучший год по приросту: 2020 к 2019 — +90,3% (до 536 391). Просадка: 2023 к 2022 — −9,1%. Рывок 2024: +40,6%.</w:t>
      </w:r>
    </w:p>
    <w:p/>
    <w:p>
      <w:r>
        <w:rPr>
          <w:b/>
        </w:rPr>
        <w:t>3. Предлагаемый подход к БП-2026 (нетарифные услуги)</w:t>
      </w:r>
    </w:p>
    <w:p>
      <w:r>
        <w:t>• Зафиксировать рыночную базу-2025 без «Порта»: 1 134 263 тыс. руб.</w:t>
      </w:r>
    </w:p>
    <w:p>
      <w:r>
        <w:t>• План-2026: рост не более 10% → 1 247 689 тыс. руб. (без «Порта»).</w:t>
      </w:r>
    </w:p>
    <w:p>
      <w:r>
        <w:t>• Сценарий «с Портом» при пролонгации: ориентир 1 505 392 тыс. руб.; KPI формировать без «Порта».</w:t>
      </w:r>
    </w:p>
    <w:p>
      <w:r>
        <w:t>• По письму: «Порт» — отдельный трек «внутригрупповые некоммерческие договоры» с нулевой индексацией/ростом 2026–2030; пролонгации — только по факту.</w:t>
      </w:r>
    </w:p>
    <w:p/>
    <w:p>
      <w:r>
        <w:rPr>
          <w:b/>
        </w:rPr>
        <w:t>4. Обоснование ограничения роста (≤ 10%)</w:t>
      </w:r>
    </w:p>
    <w:p>
      <w:r>
        <w:t>• Рост не ценовой: прейскурант-2025 уже по ИПЦ.</w:t>
      </w:r>
    </w:p>
    <w:p>
      <w:r>
        <w:t>• Структурные ограничения спроса: ~1 128 НП &lt; 500 чел., удалённость 30–40 км, аграрная структура, низкая инвестактивность.</w:t>
      </w:r>
    </w:p>
    <w:p>
      <w:r>
        <w:t>• Разовые проекты 2024–2025 &gt; 490,7 млн руб. — не формируют устойчивую базу роста-2026.</w:t>
      </w:r>
    </w:p>
    <w:p/>
    <w:p>
      <w:r>
        <w:rPr>
          <w:b/>
        </w:rPr>
        <w:t>5. Риски по КПЭ и премированию</w:t>
      </w:r>
    </w:p>
    <w:p>
      <w:r>
        <w:t>• Включение «Порта» (292 285 тыс. руб.) в план и KPI создаёт прямой риск невыполнения 2026 г.</w:t>
      </w:r>
    </w:p>
    <w:p>
      <w:r>
        <w:t>• При 4 КПЭ — минус до 25% премии; при 3 КПЭ — около 33% премии.</w:t>
      </w:r>
    </w:p>
    <w:p/>
    <w:p>
      <w:r>
        <w:rPr>
          <w:b/>
        </w:rPr>
        <w:t>6. Предложение (к утверждению)</w:t>
      </w:r>
    </w:p>
    <w:p>
      <w:r>
        <w:t>• Исключить из плана-2026 выручку «Порта» 292 285 тыс. руб.; утвердить KPI и план 2026 = 1 247 689 тыс. руб. (без «Порта»).</w:t>
      </w:r>
    </w:p>
    <w:p>
      <w:r>
        <w:t>• «Порт» учитывать отдельно, вне KPI, как сценарный плюс; пролонгации — только по факту.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